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ХМАО - Югры от 10.10.2022 N 507-п</w:t>
              <w:br/>
              <w:t xml:space="preserve">(ред. от 28.07.2023)</w:t>
              <w:br/>
              <w:t xml:space="preserve">"О порядке подготовки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Ханты-Мансийского автономного округа - Югры в целях применения мер государственной (муниципальной) поддержки, осуществляемых в соответствии с соглашениями о защите и поощрении капиталовложений"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03.03.2026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октября 2022 г. N 507-п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ПОДГОТОВКИ ЗАКЛЮЧЕНИЯ, СОДЕРЖАЩЕГО ВЫВОД</w:t>
      </w:r>
    </w:p>
    <w:p>
      <w:pPr>
        <w:pStyle w:val="2"/>
        <w:jc w:val="center"/>
      </w:pPr>
      <w:r>
        <w:rPr>
          <w:sz w:val="20"/>
        </w:rPr>
        <w:t xml:space="preserve">О СООТВЕТСТВИИ (ПОЛОЖИТЕЛЬНОЕ ЗАКЛЮЧЕНИЕ) ИЛИ НЕСООТВЕТСТВИИ</w:t>
      </w:r>
    </w:p>
    <w:p>
      <w:pPr>
        <w:pStyle w:val="2"/>
        <w:jc w:val="center"/>
      </w:pPr>
      <w:r>
        <w:rPr>
          <w:sz w:val="20"/>
        </w:rPr>
        <w:t xml:space="preserve">(ОТРИЦАТЕЛЬНОЕ ЗАКЛЮЧЕНИЕ) ИНВЕСТИЦИОННОГО ПРОЕКТА КРИТЕРИЯМ</w:t>
      </w:r>
    </w:p>
    <w:p>
      <w:pPr>
        <w:pStyle w:val="2"/>
        <w:jc w:val="center"/>
      </w:pPr>
      <w:r>
        <w:rPr>
          <w:sz w:val="20"/>
        </w:rPr>
        <w:t xml:space="preserve">ЭФФЕКТИВНОГО ИСПОЛЬЗОВАНИЯ СРЕДСТВ БЮДЖЕТА ХАНТЫ-МАНСИЙСКОГО</w:t>
      </w:r>
    </w:p>
    <w:p>
      <w:pPr>
        <w:pStyle w:val="2"/>
        <w:jc w:val="center"/>
      </w:pPr>
      <w:r>
        <w:rPr>
          <w:sz w:val="20"/>
        </w:rPr>
        <w:t xml:space="preserve">АВТОНОМНОГО ОКРУГА - ЮГРЫ В ЦЕЛЯХ ПРИМЕНЕНИЯ МЕР</w:t>
      </w:r>
    </w:p>
    <w:p>
      <w:pPr>
        <w:pStyle w:val="2"/>
        <w:jc w:val="center"/>
      </w:pPr>
      <w:r>
        <w:rPr>
          <w:sz w:val="20"/>
        </w:rPr>
        <w:t xml:space="preserve">ГОСУДАРСТВЕННОЙ (МУНИЦИПАЛЬНОЙ) ПОДДЕРЖКИ, ОСУЩЕСТВЛЯЕМЫХ</w:t>
      </w:r>
    </w:p>
    <w:p>
      <w:pPr>
        <w:pStyle w:val="2"/>
        <w:jc w:val="center"/>
      </w:pPr>
      <w:r>
        <w:rPr>
          <w:sz w:val="20"/>
        </w:rPr>
        <w:t xml:space="preserve">В СООТВЕТСТВИИ С СОГЛАШЕНИЯМИ О ЗАЩИТЕ И ПООЩРЕНИИ</w:t>
      </w:r>
    </w:p>
    <w:p>
      <w:pPr>
        <w:pStyle w:val="2"/>
        <w:jc w:val="center"/>
      </w:pPr>
      <w:r>
        <w:rPr>
          <w:sz w:val="20"/>
        </w:rPr>
        <w:t xml:space="preserve">КАПИТАЛОВЛОЖЕНИЙ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ХМАО - Югры от 28.07.2023 N 365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ХМАО - Югры от 28.07.2023 N 365-п)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Руководствуясь Федеральным </w:t>
      </w:r>
      <w:hyperlink w:history="0" r:id="rId9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 апреля 2020 года N 69-ФЗ "О защите и поощрении капиталовложений в Российской Федерации", </w:t>
      </w:r>
      <w:hyperlink w:history="0" r:id="rId10" w:tooltip="Постановление Правительства РФ от 13.09.2022 N 1602 (ред. от 15.07.2025) &quot;О соглашениях о защите и поощрении капиталовложений&quot; (вместе с &quot;Правилами заключения соглашений о защите и поощрении капиталовложений, изменения и прекращения действия таких соглашений&quot;, &quot;Общими требованиями к порядку заключения, изменения и прекращения действия соглашений о защите и поощрении капиталовложений, по которым Российская Федерация не является стороной&quot;, &quot;Правилами осуществления уполномоченным федеральным органом исполнител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13 сентября 2022 года N 1602 "О соглашениях о защите и поощрении капиталовложений", </w:t>
      </w:r>
      <w:hyperlink w:history="0" r:id="rId11" w:tooltip="Закон ХМАО - Югры от 26.06.2020 N 59-оз (ред. от 30.05.2025) &quot;О государственной поддержке инвестиционной деятельности, защите и поощрении капиталовложений в Ханты-Мансийском автономном округе - Югре&quot; (принят Думой Ханты-Мансийского автономного округа - Югры 25.06.2020) (с изм. и доп., вступающими в силу с 01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Ханты-Мансийского автономного округа - Югры от 26 июня 2020 года N 59-оз "О государственной поддержке инвестиционной деятельности, защите и поощрении капиталовложений в Ханты-Мансийском автономном округе - Югре", учитывая решение Общественного совета при Департаменте экономического развития Ханты-Мансийского автономного округа - Югры (протокол заседания от 6 октября 2022 года N 33), Правительство Ханты-Мансийского автономного округа - Югры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Утвердить прилагаемый </w:t>
      </w:r>
      <w:hyperlink w:history="0" w:anchor="P3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подготовки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Ханты-Мансийского автономного округа - Югры в целях применения мер государственной (муниципальной) поддержки, осуществляемых в соответствии с соглашениями о защите и поощрении капиталовложений.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Н.В.КОМАРОВА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от 10 октября 2022 года N 507-п</w:t>
      </w:r>
    </w:p>
    <w:p>
      <w:pPr>
        <w:pStyle w:val="0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ПОДГОТОВКИ ЗАКЛЮЧЕНИЯ, СОДЕРЖАЩЕГО ВЫВОД О СООТВЕТСТВИИ</w:t>
      </w:r>
    </w:p>
    <w:p>
      <w:pPr>
        <w:pStyle w:val="2"/>
        <w:jc w:val="center"/>
      </w:pPr>
      <w:r>
        <w:rPr>
          <w:sz w:val="20"/>
        </w:rPr>
        <w:t xml:space="preserve">(ПОЛОЖИТЕЛЬНОЕ ЗАКЛЮЧЕНИЕ) ИЛИ НЕСООТВЕТСТВИИ (ОТРИЦАТЕЛЬНОЕ</w:t>
      </w:r>
    </w:p>
    <w:p>
      <w:pPr>
        <w:pStyle w:val="2"/>
        <w:jc w:val="center"/>
      </w:pPr>
      <w:r>
        <w:rPr>
          <w:sz w:val="20"/>
        </w:rPr>
        <w:t xml:space="preserve">ЗАКЛЮЧЕНИЕ) ИНВЕСТИЦИОННОГО ПРОЕКТА КРИТЕРИЯМ ЭФФЕКТИВНОГО</w:t>
      </w:r>
    </w:p>
    <w:p>
      <w:pPr>
        <w:pStyle w:val="2"/>
        <w:jc w:val="center"/>
      </w:pPr>
      <w:r>
        <w:rPr>
          <w:sz w:val="20"/>
        </w:rPr>
        <w:t xml:space="preserve">ИСПОЛЬЗОВАНИЯ СРЕДСТВ БЮДЖЕТА ХАНТЫ-МАНСИЙСКОГО АВТОНОМНОГО</w:t>
      </w:r>
    </w:p>
    <w:p>
      <w:pPr>
        <w:pStyle w:val="2"/>
        <w:jc w:val="center"/>
      </w:pPr>
      <w:r>
        <w:rPr>
          <w:sz w:val="20"/>
        </w:rPr>
        <w:t xml:space="preserve">ОКРУГА - ЮГРЫ В ЦЕЛЯХ ПРИМЕНЕНИЯ МЕР ГОСУДАРСТВЕННОЙ</w:t>
      </w:r>
    </w:p>
    <w:p>
      <w:pPr>
        <w:pStyle w:val="2"/>
        <w:jc w:val="center"/>
      </w:pPr>
      <w:r>
        <w:rPr>
          <w:sz w:val="20"/>
        </w:rPr>
        <w:t xml:space="preserve">(МУНИЦИПАЛЬНОЙ) ПОДДЕРЖКИ, ОСУЩЕСТВЛЯЕМЫХ В СООТВЕТСТВИИ</w:t>
      </w:r>
    </w:p>
    <w:p>
      <w:pPr>
        <w:pStyle w:val="2"/>
        <w:jc w:val="center"/>
      </w:pPr>
      <w:r>
        <w:rPr>
          <w:sz w:val="20"/>
        </w:rPr>
        <w:t xml:space="preserve">С СОГЛАШЕНИЯМИ О ЗАЩИТЕ И ПООЩРЕНИИ КАПИТАЛОВЛОЖЕНИЙ</w:t>
      </w:r>
    </w:p>
    <w:p>
      <w:pPr>
        <w:pStyle w:val="2"/>
        <w:jc w:val="center"/>
      </w:pPr>
      <w:r>
        <w:rPr>
          <w:sz w:val="20"/>
        </w:rPr>
        <w:t xml:space="preserve">(ДАЛЕЕ - ПОРЯДОК)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остановление Правительства ХМАО - Югры от 28.07.2023 N 365-п &quot;О внесении изменений в некоторые постановления Правительств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ХМАО - Югры от 28.07.2023 N 365-п)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устанавливает механизм оценки инвестиционного проекта, в отношении которого планируется заключение соглашения о защите и поощрении капиталовложений, на предмет эффективного использования средств бюджета Ханты-Мансийского автономного округа - Югры (далее также - проект, критерии, автономный округ).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Понятия и термины, применяемые в Порядке, используются в значениях, определенных Федеральным </w:t>
      </w:r>
      <w:hyperlink w:history="0" r:id="rId13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 апреля 2020 года N 69-ФЗ "О защите и поощрении капиталовложений в Российской Федерации" (далее - Федеральный закон N 69-ФЗ).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Объектом подготовки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автономного округа в целях применения мер государственной (муниципальной) поддержки, осуществляемых в рамках соглашений о защите и поощрении капиталовложений (далее также - заключение), является инвестиционный проект в соответствии с Федеральным </w:t>
      </w:r>
      <w:hyperlink w:history="0" r:id="rId14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69-ФЗ.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Департамент экономического развития автономного округа (далее - Депэкономики Югры) является ответственным исполнительным органом автономного округа за подготовку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в целях применения мер государственной (муниципальной) поддержки, осуществляемых в рамках соглашений о защите и поощрении капиталовложений.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целях подготовки заключения, содержащего вывод о соответствии (положительное заключение) или несоответствии (отрицательное заключение) инвестиционного проекта, для применения мер государственной (муниципальной) поддержки, осуществляемых в рамках соглашений о защите и поощрении капиталовложений, создается комиссия по рассмотрению заявления организации, реализующей проект (далее - комиссия).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Положение и персональный состав комиссии утверждает приказом Депэкономики Югры.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оценки инвестиционного проекта, в отношении</w:t>
      </w:r>
    </w:p>
    <w:p>
      <w:pPr>
        <w:pStyle w:val="2"/>
        <w:jc w:val="center"/>
      </w:pPr>
      <w:r>
        <w:rPr>
          <w:sz w:val="20"/>
        </w:rPr>
        <w:t xml:space="preserve">которого планируется заключение соглашений о защите</w:t>
      </w:r>
    </w:p>
    <w:p>
      <w:pPr>
        <w:pStyle w:val="2"/>
        <w:jc w:val="center"/>
      </w:pPr>
      <w:r>
        <w:rPr>
          <w:sz w:val="20"/>
        </w:rPr>
        <w:t xml:space="preserve">и поощрении капиталовложений, на предмет эффективного</w:t>
      </w:r>
    </w:p>
    <w:p>
      <w:pPr>
        <w:pStyle w:val="2"/>
        <w:jc w:val="center"/>
      </w:pPr>
      <w:r>
        <w:rPr>
          <w:sz w:val="20"/>
        </w:rPr>
        <w:t xml:space="preserve">использования средств бюджета автономного округа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Депэкономики Югры в течение одного рабочего дня после дня поступления соответствующего заявления направляет его в специализированную организацию по привлечению инвестиций и работе с инвесторами, определенную </w:t>
      </w:r>
      <w:hyperlink w:history="0" r:id="rId15" w:tooltip="Постановление Правительства ХМАО - Югры от 02.11.2017 N 435-п (ред. от 26.04.2024) &quot;О порядке взаимодействия исполнительных органов Ханты-Мансийского автономного округа - Югры со специализированной организацией Ханты-Мансийского автономного округа - Югры по привлечению инвестиций и работе с инвесторами, в том числе по вопросам формирования, согласования и контроля за выполнением показателей эффективности деятельности указанной организации&quot; (вместе с &quot;Формами и правилами предоставления инвесторам финансовой 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автономного округа от 2 ноября 2017 года N 435-п "Об определении специализированной организации Ханты-Мансийского автономного округа - Югры по привлечению инвестиций и работе с инвесторами, о порядке взаимодействия исполнительных органов государственной власти Ханты-Мансийского автономного округа - Югры со специализированной организацией Ханты-Мансийского автономного округа - Югры по привлечению инвестиций и работе с инвесторами и о внесении изменения в приложение к постановлению Правительства Ханты-Мансийского автономного округа - Югры от 6 апреля 2011 года N 114-п "О порядке осуществления отдельных полномочий учредителя (участника) хозяйственных обществ и некоммерческих организаций и о внесении изменений в отдельные постановления Правительства Ханты-Мансийского автономного округа - Югры" (далее - специализированная организация), для занесения инвестиционного проекта в программное обеспечение "Оценка инвестиционных проектов Ханты-Мансийского автономного округа - Югры" и обеспечения проведения рейтингования проекта.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Специализированная организация в течение десяти рабочих дней заносит инвестиционный проект в программное обеспечение "Оценка инвестиционных проектов Ханты-Мансийского автономного округа Югры", готовит результат рейтингования инвестиционного проекта и направляет его в Депэкономики Югры.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Депэкономики Югры в течение пяти рабочих дней со дня поступления результата рейтингования инвестиционного проекта, предусмотренного </w:t>
      </w:r>
      <w:hyperlink w:history="0" w:anchor="P62" w:tooltip="7. Специализированная организация в течение десяти рабочих дней заносит инвестиционный проект в программное обеспечение &quot;Оценка инвестиционных проектов Ханты-Мансийского автономного округа Югры&quot;, готовит результат рейтингования инвестиционного проекта и направляет его в Депэкономики Югры.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Порядка, готовит проект заключения на инвестиционный проект, содержащего вывод о соответствии (положительное заключение) или несоответствии (отрицательное заключение) инвестиционного проекта критериям, предусмотренным </w:t>
      </w:r>
      <w:hyperlink w:history="0" w:anchor="P70" w:tooltip="III. Критерии эффективного использования средств бюджета">
        <w:r>
          <w:rPr>
            <w:sz w:val="20"/>
            <w:color w:val="0000ff"/>
          </w:rPr>
          <w:t xml:space="preserve">разделом III</w:t>
        </w:r>
      </w:hyperlink>
      <w:r>
        <w:rPr>
          <w:sz w:val="20"/>
        </w:rPr>
        <w:t xml:space="preserve"> Порядка, и направляет его для рассмотрения в комиссию, которая в течение двух рабочих дней принимает и утверждает протоколом решение о согласовании (несогласовании) проекта заключения. На основании такого решения комиссии в день его принятия Депэкономики Югры утверждает заключение.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16" w:tooltip="Постановление Правительства ХМАО - Югры от 28.07.2023 N 365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28.07.2023 N 365-п)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Депэкономики Югры не позднее трех рабочих дней после утверждения заключения направляет уведомление о результатах рассмотрения инвестиционного проекта в Министерство экономического развития Российской Федерации с приложением такого заключения, если одной из сторон соглашения о защите и поощрении капиталовложений является Российская Федерация.</w:t>
      </w:r>
    </w:p>
    <w:p>
      <w:pPr>
        <w:pStyle w:val="0"/>
        <w:jc w:val="both"/>
      </w:pPr>
      <w:r>
        <w:rPr>
          <w:sz w:val="20"/>
        </w:rPr>
        <w:t xml:space="preserve">(п. 9 в ред. </w:t>
      </w:r>
      <w:hyperlink w:history="0" r:id="rId17" w:tooltip="Постановление Правительства ХМАО - Югры от 28.07.2023 N 365-п &quot;О внесении изменений в некоторые постановления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ХМАО - Югры от 28.07.2023 N 365-п)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Заключение, содержащее вывод о несоответствии (отрицательное заключение) инвестиционного проекта критериям, предусмотренным </w:t>
      </w:r>
      <w:hyperlink w:history="0" w:anchor="P70" w:tooltip="III. Критерии эффективного использования средств бюджета">
        <w:r>
          <w:rPr>
            <w:sz w:val="20"/>
            <w:color w:val="0000ff"/>
          </w:rPr>
          <w:t xml:space="preserve">разделом III</w:t>
        </w:r>
      </w:hyperlink>
      <w:r>
        <w:rPr>
          <w:sz w:val="20"/>
        </w:rPr>
        <w:t xml:space="preserve"> Порядка, должно содержать обоснование несоответствия инвестиционного проекта этим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О результатах рассмотрения проекта Депэкономики Югры направляет уведомление в организацию, реализующую инвестиционный проект.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70" w:name="P70"/>
    <w:bookmarkEnd w:id="70"/>
    <w:p>
      <w:pPr>
        <w:pStyle w:val="2"/>
        <w:outlineLvl w:val="1"/>
        <w:jc w:val="center"/>
      </w:pPr>
      <w:r>
        <w:rPr>
          <w:sz w:val="20"/>
        </w:rPr>
        <w:t xml:space="preserve">III. Критерии эффективного использования средств бюджета</w:t>
      </w:r>
    </w:p>
    <w:p>
      <w:pPr>
        <w:pStyle w:val="2"/>
        <w:jc w:val="center"/>
      </w:pPr>
      <w:r>
        <w:rPr>
          <w:sz w:val="20"/>
        </w:rPr>
        <w:t xml:space="preserve">автономного округа в целях применения мер государственной</w:t>
      </w:r>
    </w:p>
    <w:p>
      <w:pPr>
        <w:pStyle w:val="2"/>
        <w:jc w:val="center"/>
      </w:pPr>
      <w:r>
        <w:rPr>
          <w:sz w:val="20"/>
        </w:rPr>
        <w:t xml:space="preserve">(муниципальной) поддержки, осуществляемых в рамках</w:t>
      </w:r>
    </w:p>
    <w:p>
      <w:pPr>
        <w:pStyle w:val="2"/>
        <w:jc w:val="center"/>
      </w:pPr>
      <w:r>
        <w:rPr>
          <w:sz w:val="20"/>
        </w:rPr>
        <w:t xml:space="preserve">соглашений о защите и поощрении капиталовложений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12. Инвестиционные проекты оцениваются на предмет их бюджетной и социально-экономической эффективности.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Под бюджетной эффективностью инвестиционного проекта понимается влияние реализации инвестиционного проекта на доходы консолидированного бюджета автономного округа и расходы консолидированного бюджета автономного округа (предоставление мер государственной поддержки в соответствии со </w:t>
      </w:r>
      <w:hyperlink w:history="0" r:id="rId18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статьей 15</w:t>
        </w:r>
      </w:hyperlink>
      <w:r>
        <w:rPr>
          <w:sz w:val="20"/>
        </w:rPr>
        <w:t xml:space="preserve"> Федерального закона N 69-ФЗ).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Оценка бюджетной эффективности инвестиционного проекта проводится за период действия соглашения о защите и поощрении капиталовложений путем заполнения формы </w:t>
      </w:r>
      <w:hyperlink w:history="0" w:anchor="P80" w:tooltip="Таблица 1">
        <w:r>
          <w:rPr>
            <w:sz w:val="20"/>
            <w:color w:val="0000ff"/>
          </w:rPr>
          <w:t xml:space="preserve">(таблица 1)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Оценка бюджетной эффективности:</w:t>
      </w:r>
    </w:p>
    <w:p>
      <w:pPr>
        <w:pStyle w:val="0"/>
        <w:jc w:val="right"/>
      </w:pPr>
      <w:r>
        <w:rPr>
          <w:sz w:val="20"/>
        </w:rPr>
      </w:r>
    </w:p>
    <w:bookmarkStart w:id="80" w:name="P80"/>
    <w:bookmarkEnd w:id="80"/>
    <w:p>
      <w:pPr>
        <w:pStyle w:val="0"/>
        <w:jc w:val="right"/>
      </w:pPr>
      <w:r>
        <w:rPr>
          <w:sz w:val="20"/>
        </w:rPr>
        <w:t xml:space="preserve">Таблица 1</w:t>
      </w:r>
    </w:p>
    <w:p>
      <w:pPr>
        <w:pStyle w:val="0"/>
        <w:jc w:val="right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3855"/>
        <w:gridCol w:w="907"/>
        <w:gridCol w:w="992"/>
        <w:gridCol w:w="992"/>
        <w:gridCol w:w="850"/>
        <w:gridCol w:w="907"/>
      </w:tblGrid>
      <w:tr>
        <w:tc>
          <w:tcPr>
            <w:tcW w:w="56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бюджетных доходов и расходов</w:t>
            </w:r>
          </w:p>
        </w:tc>
        <w:tc>
          <w:tcPr>
            <w:tcW w:w="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20__ г.</w:t>
            </w:r>
          </w:p>
        </w:tc>
        <w:tc>
          <w:tcPr>
            <w:tcW w:w="9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20__ г.</w:t>
            </w:r>
          </w:p>
        </w:tc>
        <w:tc>
          <w:tcPr>
            <w:tcW w:w="9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20__ г.</w:t>
            </w:r>
          </w:p>
        </w:tc>
        <w:tc>
          <w:tcPr>
            <w:tcW w:w="85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 т.д.</w:t>
            </w:r>
          </w:p>
        </w:tc>
        <w:tc>
          <w:tcPr>
            <w:tcW w:w="90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Итого</w:t>
            </w:r>
          </w:p>
        </w:tc>
      </w:tr>
      <w:tr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562" w:type="dxa"/>
          </w:tcPr>
          <w:bookmarkStart w:id="96" w:name="P96"/>
          <w:bookmarkEnd w:id="96"/>
          <w:p>
            <w:pPr>
              <w:pStyle w:val="0"/>
              <w:jc w:val="both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0"/>
              </w:rPr>
              <w:t xml:space="preserve">Объем планируемых налоговых отчислений в консолидированный бюджет автономного округа, в связи с реализацией инвестиционного проекта из расчета на каждый год реализации проекта в период действия соглашения о защите и поощрении капиталовложений, млн руб.</w:t>
            </w:r>
          </w:p>
        </w:tc>
        <w:tc>
          <w:tcPr>
            <w:tcW w:w="907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992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992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bookmarkStart w:id="103" w:name="P103"/>
          <w:bookmarkEnd w:id="103"/>
          <w:p>
            <w:pPr>
              <w:pStyle w:val="0"/>
              <w:jc w:val="both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0"/>
              </w:rPr>
              <w:t xml:space="preserve">Объем планируемых расходов из консолидированного бюджета автономного округа на предоставление мер государственной поддержки, млн руб.</w:t>
            </w:r>
          </w:p>
        </w:tc>
        <w:tc>
          <w:tcPr>
            <w:tcW w:w="907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992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992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562" w:type="dxa"/>
          </w:tcPr>
          <w:bookmarkStart w:id="110" w:name="P110"/>
          <w:bookmarkEnd w:id="110"/>
          <w:p>
            <w:pPr>
              <w:pStyle w:val="0"/>
              <w:jc w:val="both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855" w:type="dxa"/>
          </w:tcPr>
          <w:p>
            <w:pPr>
              <w:pStyle w:val="0"/>
            </w:pPr>
            <w:r>
              <w:rPr>
                <w:sz w:val="20"/>
              </w:rPr>
              <w:t xml:space="preserve">Итого бюджетный эффект, млн руб.</w:t>
            </w:r>
          </w:p>
        </w:tc>
        <w:tc>
          <w:tcPr>
            <w:tcW w:w="907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992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992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Объем планируемых налоговых отчислений в консолидированный бюджет автономного округа включает в себя: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бюджет автономного округа - налог на прибыль организации, подлежащий зачислению в бюджет автономного округа, налог на имущество организации, исчисленный организацией, реализующей инвестиционный проект;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местный бюджет - земельный налог, в случае если муниципальное образование является стороной соглашения о защите и поощрении капиталовложений и таким соглашением предусмотрена возможность возмещения затрат, указанных в </w:t>
      </w:r>
      <w:hyperlink w:history="0" r:id="rId19" w:tooltip="Федеральный закон от 01.04.2020 N 69-ФЗ (ред. от 04.11.2025) &quot;О защите и поощрении капиталовложений в Российской Федерации&quot; (с изм. и доп., вступ. в силу с 01.01.2026) {КонсультантПлюс}">
        <w:r>
          <w:rPr>
            <w:sz w:val="20"/>
            <w:color w:val="0000ff"/>
          </w:rPr>
          <w:t xml:space="preserve">части 1 статьи 15</w:t>
        </w:r>
      </w:hyperlink>
      <w:r>
        <w:rPr>
          <w:sz w:val="20"/>
        </w:rPr>
        <w:t xml:space="preserve"> Федерального закона N 69-ФЗ, в пределах размера земельного налога, исчисленного организацией, реализующей инвестиционный проект, для уплаты в местный бюджет.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Бюджетная эффективность рассчитывается как разница между объемом планируемых налоговых отчислений в консолидированный бюджет автономного округа и объемом планируемых расходов из консолидированного бюджета автономного округа на предоставление мер государственной поддержки: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hyperlink w:history="0" w:anchor="P110" w:tooltip="3">
        <w:r>
          <w:rPr>
            <w:sz w:val="20"/>
            <w:color w:val="0000ff"/>
          </w:rPr>
          <w:t xml:space="preserve">стр. 3</w:t>
        </w:r>
      </w:hyperlink>
      <w:r>
        <w:rPr>
          <w:sz w:val="20"/>
        </w:rPr>
        <w:t xml:space="preserve"> = </w:t>
      </w:r>
      <w:hyperlink w:history="0" w:anchor="P96" w:tooltip="1">
        <w:r>
          <w:rPr>
            <w:sz w:val="20"/>
            <w:color w:val="0000ff"/>
          </w:rPr>
          <w:t xml:space="preserve">стр. 1</w:t>
        </w:r>
      </w:hyperlink>
      <w:r>
        <w:rPr>
          <w:sz w:val="20"/>
        </w:rPr>
        <w:t xml:space="preserve"> - </w:t>
      </w:r>
      <w:hyperlink w:history="0" w:anchor="P103" w:tooltip="2">
        <w:r>
          <w:rPr>
            <w:sz w:val="20"/>
            <w:color w:val="0000ff"/>
          </w:rPr>
          <w:t xml:space="preserve">стр. 2</w:t>
        </w:r>
      </w:hyperlink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случае если Бэ &gt; 0, инвестиционный проект признается соответствующим критерию бюджетной эффективности.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Бэ &lt;= 0, инвестиционный проект признается не соответствующим критерию бюджетной эффективности.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Инвестиционный проект признается социально-экономически эффективным, если соответствует критериям: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сохраняет и (или) создает рабочие места;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соответствует приоритетным направлениям, определенным Стратегией социально-экономического развития автономного округа до 2030 года и (или) цели государственных программ автономного округа.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10.10.2022 N 507-п</w:t>
            <w:br/>
            <w:t>(ред. от 28.07.2023)</w:t>
            <w:br/>
            <w:t>"О порядке подготовки заключения, сод...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03.03.2026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284221&amp;dst=100018" TargetMode = "External"/><Relationship Id="rId9" Type="http://schemas.openxmlformats.org/officeDocument/2006/relationships/hyperlink" Target="https://login.consultant.ru/link/?req=doc&amp;base=RZR&amp;n=518230" TargetMode = "External"/><Relationship Id="rId10" Type="http://schemas.openxmlformats.org/officeDocument/2006/relationships/hyperlink" Target="https://login.consultant.ru/link/?req=doc&amp;base=RZR&amp;n=510601" TargetMode = "External"/><Relationship Id="rId11" Type="http://schemas.openxmlformats.org/officeDocument/2006/relationships/hyperlink" Target="https://login.consultant.ru/link/?req=doc&amp;base=RLAW926&amp;n=325661&amp;dst=100179" TargetMode = "External"/><Relationship Id="rId12" Type="http://schemas.openxmlformats.org/officeDocument/2006/relationships/hyperlink" Target="https://login.consultant.ru/link/?req=doc&amp;base=RLAW926&amp;n=284221&amp;dst=100018" TargetMode = "External"/><Relationship Id="rId13" Type="http://schemas.openxmlformats.org/officeDocument/2006/relationships/hyperlink" Target="https://login.consultant.ru/link/?req=doc&amp;base=RZR&amp;n=518230" TargetMode = "External"/><Relationship Id="rId14" Type="http://schemas.openxmlformats.org/officeDocument/2006/relationships/hyperlink" Target="https://login.consultant.ru/link/?req=doc&amp;base=RZR&amp;n=518230" TargetMode = "External"/><Relationship Id="rId15" Type="http://schemas.openxmlformats.org/officeDocument/2006/relationships/hyperlink" Target="https://login.consultant.ru/link/?req=doc&amp;base=RLAW926&amp;n=301343" TargetMode = "External"/><Relationship Id="rId16" Type="http://schemas.openxmlformats.org/officeDocument/2006/relationships/hyperlink" Target="https://login.consultant.ru/link/?req=doc&amp;base=RLAW926&amp;n=284221&amp;dst=100018" TargetMode = "External"/><Relationship Id="rId17" Type="http://schemas.openxmlformats.org/officeDocument/2006/relationships/hyperlink" Target="https://login.consultant.ru/link/?req=doc&amp;base=RLAW926&amp;n=284221&amp;dst=100020" TargetMode = "External"/><Relationship Id="rId18" Type="http://schemas.openxmlformats.org/officeDocument/2006/relationships/hyperlink" Target="https://login.consultant.ru/link/?req=doc&amp;base=RZR&amp;n=518230&amp;dst=100624" TargetMode = "External"/><Relationship Id="rId19" Type="http://schemas.openxmlformats.org/officeDocument/2006/relationships/hyperlink" Target="https://login.consultant.ru/link/?req=doc&amp;base=RZR&amp;n=518230&amp;dst=10078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10.10.2022 N 507-п
(ред. от 28.07.2023)
"О порядке подготовки заключения, содержащего вывод о соответствии (положительное заключение) или несоответствии (отрицательное заключение) инвестиционного проекта критериям эффективного использования средств бюджета Ханты-Мансийского автономного округа - Югры в целях применения мер государственной (муниципальной) поддержки, осуществляемых в соответствии с соглашениями о защите и поощрении капиталовложений"</dc:title>
  <dcterms:created xsi:type="dcterms:W3CDTF">2026-03-03T10:56:20Z</dcterms:created>
</cp:coreProperties>
</file>